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  <w:t>附件</w:t>
      </w:r>
    </w:p>
    <w:p>
      <w:pPr>
        <w:jc w:val="center"/>
        <w:rPr>
          <w:rFonts w:hint="eastAsia" w:ascii="宋体" w:hAnsi="宋体" w:cs="宋体"/>
          <w:b/>
          <w:sz w:val="24"/>
          <w:highlight w:val="none"/>
        </w:rPr>
      </w:pPr>
      <w:r>
        <w:rPr>
          <w:rFonts w:hint="eastAsia" w:ascii="宋体" w:hAnsi="宋体"/>
          <w:b/>
          <w:bCs/>
          <w:sz w:val="32"/>
          <w:szCs w:val="32"/>
          <w:highlight w:val="none"/>
          <w:lang w:val="en-US" w:eastAsia="zh-CN"/>
        </w:rPr>
        <w:t>国家级高技能人才培训基地专业课程教材出版服务项目</w:t>
      </w:r>
      <w:r>
        <w:rPr>
          <w:rFonts w:hint="eastAsia" w:ascii="宋体" w:hAnsi="宋体"/>
          <w:b/>
          <w:bCs/>
          <w:sz w:val="32"/>
          <w:szCs w:val="32"/>
          <w:highlight w:val="none"/>
        </w:rPr>
        <w:t>询价函</w:t>
      </w:r>
    </w:p>
    <w:p>
      <w:pPr>
        <w:rPr>
          <w:rFonts w:hint="eastAsia" w:ascii="宋体" w:hAnsi="宋体" w:cs="宋体"/>
          <w:sz w:val="24"/>
          <w:highlight w:val="none"/>
        </w:rPr>
      </w:pPr>
    </w:p>
    <w:p>
      <w:pPr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我单位为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国家级高技能人才培训基地专业课程教材出版服务</w:t>
      </w:r>
      <w:r>
        <w:rPr>
          <w:rFonts w:hint="eastAsia" w:ascii="宋体" w:hAnsi="宋体" w:cs="宋体"/>
          <w:sz w:val="24"/>
          <w:highlight w:val="none"/>
        </w:rPr>
        <w:t>项目标的物进行询价，请贵单位参与报价，具体内容如下：</w:t>
      </w:r>
    </w:p>
    <w:tbl>
      <w:tblPr>
        <w:tblStyle w:val="2"/>
        <w:tblpPr w:leftFromText="180" w:rightFromText="180" w:vertAnchor="text" w:horzAnchor="page" w:tblpX="1290" w:tblpY="167"/>
        <w:tblOverlap w:val="never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444"/>
        <w:gridCol w:w="3240"/>
        <w:gridCol w:w="1215"/>
        <w:gridCol w:w="1267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          类   别</w:t>
            </w:r>
          </w:p>
        </w:tc>
        <w:tc>
          <w:tcPr>
            <w:tcW w:w="6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竞选意见/报价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宋体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1</w:t>
            </w:r>
          </w:p>
        </w:tc>
        <w:tc>
          <w:tcPr>
            <w:tcW w:w="244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356"/>
              </w:tabs>
              <w:spacing w:line="360" w:lineRule="auto"/>
              <w:jc w:val="center"/>
              <w:rPr>
                <w:rFonts w:hint="default" w:ascii="宋体" w:hAnsi="宋体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服务内容</w:t>
            </w:r>
          </w:p>
        </w:tc>
        <w:tc>
          <w:tcPr>
            <w:tcW w:w="32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服务明细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 xml:space="preserve">单价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总价（元）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2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出版发行《高技能焊工》（上册和下册）、《构件装配工》《灌浆工》共4本教材，冠名重庆建工集团国家级高技能人才培训基地专业教材，每本定价70元以内，开本为16开，出版商应确保ISBN（书号）真实无误；每本教材向集团提供不少于1000册，作为国家级高技能人才培训教材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应在2023年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月30日前完成全部出版工作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4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综合总价</w:t>
            </w:r>
          </w:p>
        </w:tc>
        <w:tc>
          <w:tcPr>
            <w:tcW w:w="684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</w:rPr>
              <w:t xml:space="preserve"> </w:t>
            </w:r>
            <w:permStart w:id="0" w:edGrp="everyone"/>
            <w:r>
              <w:rPr>
                <w:rFonts w:hint="eastAsia" w:ascii="宋体"/>
                <w:sz w:val="18"/>
                <w:szCs w:val="18"/>
                <w:highlight w:val="none"/>
                <w:u w:val="single"/>
              </w:rPr>
              <w:t xml:space="preserve">                           </w:t>
            </w:r>
            <w:permEnd w:id="0"/>
            <w:r>
              <w:rPr>
                <w:rFonts w:hint="eastAsia" w:ascii="宋体"/>
                <w:sz w:val="18"/>
                <w:szCs w:val="18"/>
                <w:highlight w:val="none"/>
              </w:rPr>
              <w:t xml:space="preserve">元 （大写： </w:t>
            </w:r>
            <w:permStart w:id="1" w:edGrp="everyone"/>
            <w:r>
              <w:rPr>
                <w:rFonts w:hint="eastAsia" w:ascii="宋体"/>
                <w:sz w:val="18"/>
                <w:szCs w:val="18"/>
                <w:highlight w:val="none"/>
                <w:u w:val="single"/>
              </w:rPr>
              <w:t xml:space="preserve">                            </w:t>
            </w:r>
            <w:permEnd w:id="1"/>
            <w:r>
              <w:rPr>
                <w:rFonts w:hint="eastAsia" w:ascii="宋体"/>
                <w:sz w:val="18"/>
                <w:szCs w:val="18"/>
                <w:highlight w:val="none"/>
              </w:rPr>
              <w:t xml:space="preserve">）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2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采购标的物货款支付方式</w:t>
            </w:r>
          </w:p>
        </w:tc>
        <w:tc>
          <w:tcPr>
            <w:tcW w:w="6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出版工作完成后20个工作日内进行资金支付，支付比例为合同金额的100%.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3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是否完全同意采购标的物相关条款</w:t>
            </w:r>
          </w:p>
        </w:tc>
        <w:tc>
          <w:tcPr>
            <w:tcW w:w="6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4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360" w:hanging="360" w:hangingChars="200"/>
              <w:jc w:val="lef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其他相关要求：</w:t>
            </w:r>
          </w:p>
        </w:tc>
        <w:tc>
          <w:tcPr>
            <w:tcW w:w="6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18"/>
                <w:szCs w:val="18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以上费用为包干价，包含人工、编辑、校对、印刷、材料、税费等所有必要的费用支出，以及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每本教材向集团提供不少于1000册的费用，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采购人不再额外承担其他费用支出。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5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360" w:hanging="360" w:hangingChars="200"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询价部门/人员</w:t>
            </w:r>
          </w:p>
        </w:tc>
        <w:tc>
          <w:tcPr>
            <w:tcW w:w="6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18"/>
                <w:szCs w:val="18"/>
                <w:highlight w:val="none"/>
                <w:u w:val="single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</w:rPr>
              <w:t xml:space="preserve">询价部门： </w:t>
            </w:r>
            <w:permStart w:id="2" w:edGrp="everyone"/>
            <w:r>
              <w:rPr>
                <w:rFonts w:hint="eastAsia" w:ascii="宋体"/>
                <w:sz w:val="18"/>
                <w:szCs w:val="18"/>
                <w:highlight w:val="none"/>
                <w:u w:val="single"/>
                <w:lang w:eastAsia="zh-CN"/>
              </w:rPr>
              <w:t>重庆建工集团股份有限公司组织人事部</w:t>
            </w:r>
          </w:p>
          <w:permEnd w:id="2"/>
          <w:p>
            <w:pPr>
              <w:rPr>
                <w:rFonts w:ascii="宋体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</w:rPr>
              <w:t xml:space="preserve">询价人员及联系方式： </w:t>
            </w:r>
            <w:permStart w:id="3" w:edGrp="everyone"/>
            <w:r>
              <w:rPr>
                <w:rFonts w:hint="eastAsia" w:ascii="宋体"/>
                <w:sz w:val="18"/>
                <w:szCs w:val="18"/>
                <w:highlight w:val="none"/>
                <w:u w:val="single"/>
                <w:lang w:eastAsia="zh-CN"/>
              </w:rPr>
              <w:t>孙家福，</w:t>
            </w:r>
            <w:r>
              <w:rPr>
                <w:rFonts w:hint="eastAsia" w:ascii="宋体"/>
                <w:sz w:val="18"/>
                <w:szCs w:val="18"/>
                <w:highlight w:val="none"/>
                <w:u w:val="single"/>
                <w:lang w:val="en-US" w:eastAsia="zh-CN"/>
              </w:rPr>
              <w:t>13527511852</w:t>
            </w:r>
            <w:r>
              <w:rPr>
                <w:rFonts w:hint="eastAsia" w:ascii="宋体"/>
                <w:sz w:val="18"/>
                <w:szCs w:val="18"/>
                <w:highlight w:val="none"/>
                <w:u w:val="single"/>
                <w:lang w:eastAsia="zh-CN"/>
              </w:rPr>
              <w:t xml:space="preserve">  </w:t>
            </w:r>
            <w:permEnd w:id="3"/>
          </w:p>
        </w:tc>
      </w:tr>
    </w:tbl>
    <w:p>
      <w:pPr>
        <w:ind w:firstLine="480" w:firstLineChars="200"/>
        <w:rPr>
          <w:rFonts w:hint="eastAsia" w:ascii="宋体" w:hAnsi="宋体" w:cs="宋体"/>
          <w:sz w:val="24"/>
          <w:highlight w:val="none"/>
        </w:rPr>
      </w:pPr>
    </w:p>
    <w:p>
      <w:pPr>
        <w:ind w:firstLine="2880" w:firstLineChars="1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竞选人名称：</w:t>
      </w:r>
      <w:permStart w:id="4" w:edGrp="everyone"/>
      <w:r>
        <w:rPr>
          <w:rStyle w:val="4"/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</w:t>
      </w:r>
      <w:permEnd w:id="4"/>
      <w:r>
        <w:rPr>
          <w:rFonts w:hint="eastAsia" w:ascii="宋体" w:hAnsi="宋体" w:cs="宋体"/>
          <w:sz w:val="24"/>
          <w:highlight w:val="none"/>
        </w:rPr>
        <w:t>（盖章）</w:t>
      </w:r>
    </w:p>
    <w:p>
      <w:pPr>
        <w:rPr>
          <w:rFonts w:hint="eastAsia" w:ascii="宋体" w:hAnsi="宋体" w:cs="宋体"/>
          <w:sz w:val="24"/>
          <w:highlight w:val="none"/>
        </w:rPr>
      </w:pPr>
    </w:p>
    <w:p>
      <w:pPr>
        <w:ind w:firstLine="2880" w:firstLineChars="1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竞选人代表：</w:t>
      </w:r>
      <w:permStart w:id="5" w:edGrp="everyone"/>
      <w:r>
        <w:rPr>
          <w:rFonts w:hint="eastAsia" w:ascii="宋体" w:hAnsi="宋体" w:cs="宋体"/>
          <w:sz w:val="24"/>
          <w:highlight w:val="none"/>
          <w:u w:val="single"/>
        </w:rPr>
        <w:t xml:space="preserve">                       </w:t>
      </w:r>
      <w:permEnd w:id="5"/>
      <w:r>
        <w:rPr>
          <w:rFonts w:hint="eastAsia" w:ascii="宋体" w:hAnsi="宋体" w:cs="宋体"/>
          <w:sz w:val="24"/>
          <w:highlight w:val="none"/>
        </w:rPr>
        <w:t>（签字）</w:t>
      </w:r>
    </w:p>
    <w:p>
      <w:pPr>
        <w:ind w:firstLine="2880" w:firstLineChars="1200"/>
        <w:rPr>
          <w:rFonts w:hint="eastAsia" w:ascii="宋体" w:hAnsi="宋体" w:cs="宋体"/>
          <w:sz w:val="24"/>
          <w:highlight w:val="none"/>
        </w:rPr>
      </w:pPr>
    </w:p>
    <w:p>
      <w:pPr>
        <w:ind w:firstLine="2880" w:firstLineChars="1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竞选人代表联系电话：</w:t>
      </w:r>
      <w:permStart w:id="6" w:edGrp="everyone"/>
      <w:r>
        <w:rPr>
          <w:rFonts w:hint="eastAsia" w:ascii="宋体" w:hAnsi="宋体" w:cs="宋体"/>
          <w:sz w:val="24"/>
          <w:highlight w:val="none"/>
          <w:u w:val="single"/>
        </w:rPr>
        <w:t xml:space="preserve">                          </w:t>
      </w:r>
      <w:permEnd w:id="6"/>
    </w:p>
    <w:p>
      <w:pPr>
        <w:ind w:firstLine="3600" w:firstLineChars="1500"/>
        <w:rPr>
          <w:rFonts w:hint="eastAsia" w:ascii="宋体" w:hAnsi="宋体" w:cs="宋体"/>
          <w:sz w:val="24"/>
          <w:highlight w:val="none"/>
        </w:rPr>
      </w:pPr>
    </w:p>
    <w:p>
      <w:pPr>
        <w:ind w:firstLine="6240" w:firstLineChars="2600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u w:val="single"/>
        </w:rPr>
        <w:t xml:space="preserve"> 20  </w:t>
      </w:r>
      <w:r>
        <w:rPr>
          <w:rFonts w:hint="eastAsia" w:ascii="宋体" w:hAnsi="宋体" w:cs="宋体"/>
          <w:sz w:val="24"/>
          <w:highlight w:val="none"/>
        </w:rPr>
        <w:t>年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D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2023-04-12T03:50:00Z</dcterms:created>
  <dc:creator>lenovo</dc:creator>
  <cp:lastModifiedBy>代典</cp:lastModifiedBy>
  <dcterms:modified xsi:type="dcterms:W3CDTF">2023-04-12T03:50:10Z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EA9EA080696A440A865A9A6F92B075A6</vt:lpwstr>
  </property>
</Properties>
</file>