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atLeast"/>
        <w:rPr>
          <w:rFonts w:hint="eastAsia" w:ascii="方正仿宋_GBK" w:eastAsia="方正仿宋_GBK" w:cs="方正小标宋_GBK"/>
          <w:sz w:val="32"/>
          <w:szCs w:val="32"/>
        </w:rPr>
      </w:pPr>
      <w:r>
        <w:rPr>
          <w:rFonts w:hint="eastAsia" w:ascii="方正仿宋_GBK" w:eastAsia="方正仿宋_GBK"/>
          <w:sz w:val="32"/>
          <w:szCs w:val="32"/>
        </w:rPr>
        <w:t>附件1</w:t>
      </w:r>
      <w:r>
        <w:rPr>
          <w:rFonts w:hint="eastAsia" w:ascii="方正仿宋_GBK" w:eastAsia="方正仿宋_GBK" w:cs="方正小标宋_GBK"/>
          <w:sz w:val="32"/>
          <w:szCs w:val="32"/>
        </w:rPr>
        <w:t xml:space="preserve">    </w:t>
      </w:r>
      <w:r>
        <w:rPr>
          <w:rFonts w:hint="eastAsia" w:ascii="方正小标宋_GBK" w:eastAsia="方正小标宋_GBK"/>
          <w:sz w:val="32"/>
          <w:szCs w:val="32"/>
        </w:rPr>
        <w:t xml:space="preserve">   重庆建工集团股份有限公司重大科技计划“揭榜挂帅”项目榜单任务</w:t>
      </w:r>
    </w:p>
    <w:tbl>
      <w:tblPr>
        <w:tblStyle w:val="3"/>
        <w:tblW w:w="15088" w:type="dxa"/>
        <w:jc w:val="center"/>
        <w:tblLayout w:type="fixed"/>
        <w:tblCellMar>
          <w:top w:w="0" w:type="dxa"/>
          <w:left w:w="108" w:type="dxa"/>
          <w:bottom w:w="0" w:type="dxa"/>
          <w:right w:w="108" w:type="dxa"/>
        </w:tblCellMar>
      </w:tblPr>
      <w:tblGrid>
        <w:gridCol w:w="594"/>
        <w:gridCol w:w="1559"/>
        <w:gridCol w:w="4425"/>
        <w:gridCol w:w="7381"/>
        <w:gridCol w:w="1129"/>
      </w:tblGrid>
      <w:tr>
        <w:tblPrEx>
          <w:tblCellMar>
            <w:top w:w="0" w:type="dxa"/>
            <w:left w:w="108" w:type="dxa"/>
            <w:bottom w:w="0" w:type="dxa"/>
            <w:right w:w="108" w:type="dxa"/>
          </w:tblCellMar>
        </w:tblPrEx>
        <w:trPr>
          <w:trHeight w:val="490" w:hRule="atLeast"/>
          <w:jc w:val="center"/>
        </w:trPr>
        <w:tc>
          <w:tcPr>
            <w:tcW w:w="1508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小标宋_GBK" w:eastAsia="方正小标宋_GBK"/>
                <w:kern w:val="0"/>
                <w:sz w:val="24"/>
                <w:szCs w:val="24"/>
              </w:rPr>
              <w:t>一、装配式技术研发类（50万元）</w:t>
            </w:r>
          </w:p>
        </w:tc>
      </w:tr>
      <w:tr>
        <w:tblPrEx>
          <w:tblCellMar>
            <w:top w:w="0" w:type="dxa"/>
            <w:left w:w="108" w:type="dxa"/>
            <w:bottom w:w="0" w:type="dxa"/>
            <w:right w:w="108" w:type="dxa"/>
          </w:tblCellMar>
        </w:tblPrEx>
        <w:trPr>
          <w:trHeight w:val="509"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序号</w:t>
            </w:r>
          </w:p>
        </w:tc>
        <w:tc>
          <w:tcPr>
            <w:tcW w:w="155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研究项目</w:t>
            </w:r>
          </w:p>
        </w:tc>
        <w:tc>
          <w:tcPr>
            <w:tcW w:w="44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拟解决问题</w:t>
            </w:r>
          </w:p>
        </w:tc>
        <w:tc>
          <w:tcPr>
            <w:tcW w:w="7381"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预期达到的目标</w:t>
            </w:r>
          </w:p>
        </w:tc>
        <w:tc>
          <w:tcPr>
            <w:tcW w:w="112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小标宋_GBK" w:eastAsia="方正小标宋_GBK"/>
                <w:kern w:val="0"/>
                <w:sz w:val="24"/>
                <w:szCs w:val="24"/>
              </w:rPr>
            </w:pPr>
            <w:r>
              <w:rPr>
                <w:rFonts w:hint="eastAsia" w:ascii="方正小标宋_GBK" w:eastAsia="方正小标宋_GBK"/>
                <w:kern w:val="0"/>
                <w:sz w:val="24"/>
                <w:szCs w:val="24"/>
              </w:rPr>
              <w:t>榜单</w:t>
            </w:r>
          </w:p>
          <w:p>
            <w:pPr>
              <w:widowControl/>
              <w:autoSpaceDE w:val="0"/>
              <w:snapToGrid w:val="0"/>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金额</w:t>
            </w:r>
          </w:p>
        </w:tc>
      </w:tr>
      <w:tr>
        <w:tblPrEx>
          <w:tblCellMar>
            <w:top w:w="0" w:type="dxa"/>
            <w:left w:w="108" w:type="dxa"/>
            <w:bottom w:w="0" w:type="dxa"/>
            <w:right w:w="108" w:type="dxa"/>
          </w:tblCellMar>
        </w:tblPrEx>
        <w:trPr>
          <w:trHeight w:val="1835"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1</w:t>
            </w:r>
          </w:p>
        </w:tc>
        <w:tc>
          <w:tcPr>
            <w:tcW w:w="155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b/>
                <w:bCs/>
                <w:kern w:val="0"/>
                <w:sz w:val="22"/>
                <w:szCs w:val="22"/>
              </w:rPr>
            </w:pPr>
            <w:r>
              <w:rPr>
                <w:rFonts w:hint="eastAsia" w:ascii="方正仿宋_GBK" w:eastAsia="方正仿宋_GBK"/>
                <w:b/>
                <w:bCs/>
                <w:kern w:val="0"/>
                <w:sz w:val="22"/>
                <w:szCs w:val="22"/>
              </w:rPr>
              <w:t>办公楼、中小学的装配式建筑设计体系研究</w:t>
            </w:r>
          </w:p>
        </w:tc>
        <w:tc>
          <w:tcPr>
            <w:tcW w:w="4425"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针对小型办公楼和小体量中小学办公楼构件标准化研究</w:t>
            </w:r>
          </w:p>
        </w:tc>
        <w:tc>
          <w:tcPr>
            <w:tcW w:w="7381"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sz w:val="22"/>
                <w:szCs w:val="22"/>
              </w:rPr>
            </w:pPr>
            <w:r>
              <w:rPr>
                <w:rFonts w:hint="eastAsia" w:ascii="方正仿宋_GBK" w:eastAsia="方正仿宋_GBK"/>
                <w:sz w:val="22"/>
                <w:szCs w:val="22"/>
              </w:rPr>
              <w:t>完成5000㎡办公楼和36班规模的中小学构件标准化设计，完成关键节点的方案图纸（建筑专业为主），装配率超过75%。</w:t>
            </w:r>
          </w:p>
        </w:tc>
        <w:tc>
          <w:tcPr>
            <w:tcW w:w="112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20万元</w:t>
            </w:r>
          </w:p>
        </w:tc>
      </w:tr>
      <w:tr>
        <w:tblPrEx>
          <w:tblCellMar>
            <w:top w:w="0" w:type="dxa"/>
            <w:left w:w="108" w:type="dxa"/>
            <w:bottom w:w="0" w:type="dxa"/>
            <w:right w:w="108" w:type="dxa"/>
          </w:tblCellMar>
        </w:tblPrEx>
        <w:trPr>
          <w:trHeight w:val="419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2</w:t>
            </w:r>
          </w:p>
        </w:tc>
        <w:tc>
          <w:tcPr>
            <w:tcW w:w="155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b/>
                <w:bCs/>
                <w:kern w:val="0"/>
                <w:sz w:val="22"/>
                <w:szCs w:val="22"/>
              </w:rPr>
            </w:pPr>
            <w:r>
              <w:rPr>
                <w:rFonts w:hint="eastAsia" w:ascii="方正仿宋_GBK" w:eastAsia="方正仿宋_GBK"/>
                <w:b/>
                <w:bCs/>
                <w:kern w:val="0"/>
                <w:sz w:val="22"/>
                <w:szCs w:val="22"/>
              </w:rPr>
              <w:t>机电安装管道工程装配式相关技术研究</w:t>
            </w:r>
          </w:p>
        </w:tc>
        <w:tc>
          <w:tcPr>
            <w:tcW w:w="4425"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1、基于3D扫描及云数据处理技术，解决局部建筑实物的快速建模；</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2、基于BIM+现场施工技术，解决机电工程机房管线综合布置及深化设计问题；</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3、研发适用于机电工程管道工厂化预制工艺技术及高效的工艺流程，解决预制工艺标准化问题，研发模块化装配式管道施工技术（模块确定原则、平移及提升系统、组合式支吊架、预制口与现场口的驳接问题、运输问题）；</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4、现场设备使用的减震装置转换至模块上；</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5、预制墙板中预埋机电管线的准确性。</w:t>
            </w:r>
          </w:p>
        </w:tc>
        <w:tc>
          <w:tcPr>
            <w:tcW w:w="7381"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1、建立起毫米级精细化机电模型：精细化（外形尺寸精确度达毫米级）、真实化（族与实物外形完全吻合）、信息化（族参数深度达到LOD4.0标准）；</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2、完成模块化装配式机房管道预制工艺技术，预制率达到50%以上；</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3、完成模块化装配式机房管道系列施工技术研究，现场施工效率提升30%以上；</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4、预制墙板中预埋机电管线准确率达到99%。</w:t>
            </w:r>
          </w:p>
        </w:tc>
        <w:tc>
          <w:tcPr>
            <w:tcW w:w="112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30万元</w:t>
            </w:r>
          </w:p>
        </w:tc>
      </w:tr>
      <w:tr>
        <w:tblPrEx>
          <w:tblCellMar>
            <w:top w:w="0" w:type="dxa"/>
            <w:left w:w="108" w:type="dxa"/>
            <w:bottom w:w="0" w:type="dxa"/>
            <w:right w:w="108" w:type="dxa"/>
          </w:tblCellMar>
        </w:tblPrEx>
        <w:trPr>
          <w:trHeight w:val="725" w:hRule="atLeast"/>
          <w:jc w:val="center"/>
        </w:trPr>
        <w:tc>
          <w:tcPr>
            <w:tcW w:w="1508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小标宋_GBK" w:eastAsia="方正小标宋_GBK"/>
                <w:kern w:val="0"/>
                <w:sz w:val="24"/>
                <w:szCs w:val="24"/>
              </w:rPr>
              <w:t>二、海绵城市技术研发类（190万元）</w:t>
            </w:r>
          </w:p>
        </w:tc>
      </w:tr>
      <w:tr>
        <w:tblPrEx>
          <w:tblCellMar>
            <w:top w:w="0" w:type="dxa"/>
            <w:left w:w="108" w:type="dxa"/>
            <w:bottom w:w="0" w:type="dxa"/>
            <w:right w:w="108" w:type="dxa"/>
          </w:tblCellMar>
        </w:tblPrEx>
        <w:trPr>
          <w:trHeight w:val="71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序号</w:t>
            </w:r>
          </w:p>
        </w:tc>
        <w:tc>
          <w:tcPr>
            <w:tcW w:w="155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研究项目</w:t>
            </w:r>
          </w:p>
        </w:tc>
        <w:tc>
          <w:tcPr>
            <w:tcW w:w="44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拟解决问题</w:t>
            </w:r>
          </w:p>
        </w:tc>
        <w:tc>
          <w:tcPr>
            <w:tcW w:w="7381"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预期达到的目标</w:t>
            </w:r>
          </w:p>
        </w:tc>
        <w:tc>
          <w:tcPr>
            <w:tcW w:w="112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小标宋_GBK" w:eastAsia="方正小标宋_GBK"/>
                <w:kern w:val="0"/>
                <w:sz w:val="24"/>
                <w:szCs w:val="24"/>
              </w:rPr>
            </w:pPr>
            <w:r>
              <w:rPr>
                <w:rFonts w:hint="eastAsia" w:ascii="方正小标宋_GBK" w:eastAsia="方正小标宋_GBK"/>
                <w:kern w:val="0"/>
                <w:sz w:val="24"/>
                <w:szCs w:val="24"/>
              </w:rPr>
              <w:t>榜单</w:t>
            </w:r>
          </w:p>
          <w:p>
            <w:pPr>
              <w:widowControl/>
              <w:autoSpaceDE w:val="0"/>
              <w:snapToGrid w:val="0"/>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金额</w:t>
            </w:r>
          </w:p>
        </w:tc>
      </w:tr>
      <w:tr>
        <w:tblPrEx>
          <w:tblCellMar>
            <w:top w:w="0" w:type="dxa"/>
            <w:left w:w="108" w:type="dxa"/>
            <w:bottom w:w="0" w:type="dxa"/>
            <w:right w:w="108" w:type="dxa"/>
          </w:tblCellMar>
        </w:tblPrEx>
        <w:trPr>
          <w:trHeight w:val="6345"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3</w:t>
            </w:r>
          </w:p>
        </w:tc>
        <w:tc>
          <w:tcPr>
            <w:tcW w:w="155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b/>
                <w:bCs/>
                <w:kern w:val="0"/>
                <w:sz w:val="22"/>
                <w:szCs w:val="22"/>
              </w:rPr>
            </w:pPr>
            <w:r>
              <w:rPr>
                <w:rFonts w:hint="eastAsia" w:ascii="方正仿宋_GBK" w:eastAsia="方正仿宋_GBK"/>
                <w:b/>
                <w:bCs/>
                <w:kern w:val="0"/>
                <w:sz w:val="22"/>
                <w:szCs w:val="22"/>
              </w:rPr>
              <w:t>城市步道竹基绿色铺装材料开发及应用研究</w:t>
            </w:r>
          </w:p>
        </w:tc>
        <w:tc>
          <w:tcPr>
            <w:tcW w:w="4425"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1、开发满足城市慢行道使用的生态竹碎屑铺面材料1-2种，抗压强度达到10MPa，弯曲韧性较普通混凝土提升60%，并依托交通土建工程材料国家地方联合实验室等进行系统路用性能测试；申请2项发明专利保护形成自主产权；</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2、研发出与不同生态竹碎屑铺面材料配套的材料设计方法及施工工艺，较传统人行道铺面的石料用量降低70%，综合碳排放量降低50%，编制省部级工法1项；</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3、编写山地城市步道生态铺装材料设计与施工技术指南1部；</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4、铺筑全断面示范实体工程1km（大渡口老重钢片区综合整治改造道路工程项目）；</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5、在单个容积式LID设施服务范围的年径流总量控制率大于等于项目年径流量控制率的97%的（比重庆市相关指标要求提高15%）。</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6、生态竹碎屑铺面综合单价不超过75元/平方米（含面层与基层的材料及施工费用）。</w:t>
            </w:r>
          </w:p>
        </w:tc>
        <w:tc>
          <w:tcPr>
            <w:tcW w:w="7381"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1、开发满足城市慢行道使用的生态竹碎屑铺面材料1-2种，抗压强度达到10MPa，弯曲韧性较普通混凝土提升60%，并通过申请2项发明专利保护形成自主产权；</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2、研发出与不同生态竹碎屑铺面材料配套的材料设计方法及施工工艺，较传统人行道铺面的石料用量降低70%，综合碳排放量降低50%，编制省部级工法1项；</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3、编写山地城市步道生态铺装材料设计与施工技术指南1部；</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4、铺筑全断面示范实体工程1km；</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5、在单个容积式LID设施服务范围的年径流总量控制率大于等于项目年径流量控制率的97%的（比重庆市相关指标要求提高15%） 。</w:t>
            </w:r>
          </w:p>
        </w:tc>
        <w:tc>
          <w:tcPr>
            <w:tcW w:w="112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190万元</w:t>
            </w:r>
          </w:p>
        </w:tc>
      </w:tr>
      <w:tr>
        <w:tblPrEx>
          <w:tblCellMar>
            <w:top w:w="0" w:type="dxa"/>
            <w:left w:w="108" w:type="dxa"/>
            <w:bottom w:w="0" w:type="dxa"/>
            <w:right w:w="108" w:type="dxa"/>
          </w:tblCellMar>
        </w:tblPrEx>
        <w:trPr>
          <w:trHeight w:val="633" w:hRule="atLeast"/>
          <w:jc w:val="center"/>
        </w:trPr>
        <w:tc>
          <w:tcPr>
            <w:tcW w:w="1508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小标宋_GBK" w:eastAsia="方正小标宋_GBK"/>
                <w:kern w:val="0"/>
                <w:sz w:val="24"/>
                <w:szCs w:val="24"/>
              </w:rPr>
              <w:t>三、研发平台建设类（616万元）</w:t>
            </w:r>
          </w:p>
        </w:tc>
      </w:tr>
      <w:tr>
        <w:tblPrEx>
          <w:tblCellMar>
            <w:top w:w="0" w:type="dxa"/>
            <w:left w:w="108" w:type="dxa"/>
            <w:bottom w:w="0" w:type="dxa"/>
            <w:right w:w="108" w:type="dxa"/>
          </w:tblCellMar>
        </w:tblPrEx>
        <w:trPr>
          <w:trHeight w:val="74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序号</w:t>
            </w:r>
          </w:p>
        </w:tc>
        <w:tc>
          <w:tcPr>
            <w:tcW w:w="155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研究项目</w:t>
            </w:r>
          </w:p>
        </w:tc>
        <w:tc>
          <w:tcPr>
            <w:tcW w:w="44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拟解决问题</w:t>
            </w:r>
          </w:p>
        </w:tc>
        <w:tc>
          <w:tcPr>
            <w:tcW w:w="7381"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预期达到的目标</w:t>
            </w:r>
          </w:p>
        </w:tc>
        <w:tc>
          <w:tcPr>
            <w:tcW w:w="112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小标宋_GBK" w:eastAsia="方正小标宋_GBK"/>
                <w:kern w:val="0"/>
                <w:sz w:val="24"/>
                <w:szCs w:val="24"/>
              </w:rPr>
            </w:pPr>
            <w:r>
              <w:rPr>
                <w:rFonts w:hint="eastAsia" w:ascii="方正小标宋_GBK" w:eastAsia="方正小标宋_GBK"/>
                <w:kern w:val="0"/>
                <w:sz w:val="24"/>
                <w:szCs w:val="24"/>
              </w:rPr>
              <w:t>榜单</w:t>
            </w:r>
          </w:p>
          <w:p>
            <w:pPr>
              <w:widowControl/>
              <w:autoSpaceDE w:val="0"/>
              <w:snapToGrid w:val="0"/>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金额</w:t>
            </w:r>
          </w:p>
        </w:tc>
      </w:tr>
      <w:tr>
        <w:tblPrEx>
          <w:tblCellMar>
            <w:top w:w="0" w:type="dxa"/>
            <w:left w:w="108" w:type="dxa"/>
            <w:bottom w:w="0" w:type="dxa"/>
            <w:right w:w="108" w:type="dxa"/>
          </w:tblCellMar>
        </w:tblPrEx>
        <w:trPr>
          <w:trHeight w:val="6315"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4</w:t>
            </w:r>
          </w:p>
        </w:tc>
        <w:tc>
          <w:tcPr>
            <w:tcW w:w="155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b/>
                <w:bCs/>
                <w:kern w:val="0"/>
                <w:sz w:val="22"/>
                <w:szCs w:val="22"/>
              </w:rPr>
            </w:pPr>
            <w:r>
              <w:rPr>
                <w:rFonts w:hint="eastAsia" w:ascii="方正仿宋_GBK" w:eastAsia="方正仿宋_GBK"/>
                <w:b/>
                <w:bCs/>
                <w:kern w:val="0"/>
                <w:sz w:val="22"/>
                <w:szCs w:val="22"/>
              </w:rPr>
              <w:t>非炸药爆破研究中心暨爆炸与检测实验室建设</w:t>
            </w:r>
          </w:p>
        </w:tc>
        <w:tc>
          <w:tcPr>
            <w:tcW w:w="4425"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1、强监管制约行业发展，传统爆破管理要求严苛、繁琐，造成了炸药在工程建设领域中的使用场景减少。</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2、实验装置制约技术发展，传统爆破实验室不能满足非炸药爆破及新型控制爆破技术的研究。</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3、传统爆破经过多年的发展，常规爆破方式已同质化竞争严重，利润空间缩小，市场环境低迷。</w:t>
            </w:r>
          </w:p>
        </w:tc>
        <w:tc>
          <w:tcPr>
            <w:tcW w:w="7381"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1、避开强监管，简化监管流程，研发符合政策导向、对环境友好的、利于生产的技术及产品；研究平台满足二氧化碳爆破试验、动态破碎剂配方试验；建立一个试爆场所，试爆当量满足5kgTNT级，罐体规格为5mx3.5mx12m的椭圆形罐体。</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2、联合社会资源，研究前沿技术并应用于工程场景，突破工程爆破行业的技术瓶颈；以企业实验室为中心，形成以建工集团为领导核心的产学研研究基群，研发一批具有自主知识产权的成果。</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3、利用研发成果创造经济效益的潜力，提升核心竞争力，形成技术研究、产品研发、成果转化、推广应用的产业闭环。</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4、争创一个国家级研发平台。</w:t>
            </w:r>
          </w:p>
        </w:tc>
        <w:tc>
          <w:tcPr>
            <w:tcW w:w="112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616万元</w:t>
            </w:r>
          </w:p>
        </w:tc>
      </w:tr>
      <w:tr>
        <w:tblPrEx>
          <w:tblCellMar>
            <w:top w:w="0" w:type="dxa"/>
            <w:left w:w="108" w:type="dxa"/>
            <w:bottom w:w="0" w:type="dxa"/>
            <w:right w:w="108" w:type="dxa"/>
          </w:tblCellMar>
        </w:tblPrEx>
        <w:trPr>
          <w:trHeight w:val="680" w:hRule="atLeast"/>
          <w:jc w:val="center"/>
        </w:trPr>
        <w:tc>
          <w:tcPr>
            <w:tcW w:w="1508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小标宋_GBK" w:eastAsia="方正小标宋_GBK"/>
                <w:kern w:val="0"/>
                <w:sz w:val="24"/>
                <w:szCs w:val="24"/>
              </w:rPr>
              <w:t>四、施工技术类（270万元）</w:t>
            </w:r>
          </w:p>
        </w:tc>
      </w:tr>
      <w:tr>
        <w:tblPrEx>
          <w:tblCellMar>
            <w:top w:w="0" w:type="dxa"/>
            <w:left w:w="108" w:type="dxa"/>
            <w:bottom w:w="0" w:type="dxa"/>
            <w:right w:w="108" w:type="dxa"/>
          </w:tblCellMar>
        </w:tblPrEx>
        <w:trPr>
          <w:trHeight w:val="75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序号</w:t>
            </w:r>
          </w:p>
        </w:tc>
        <w:tc>
          <w:tcPr>
            <w:tcW w:w="155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研究项目</w:t>
            </w:r>
          </w:p>
        </w:tc>
        <w:tc>
          <w:tcPr>
            <w:tcW w:w="44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拟解决问题</w:t>
            </w:r>
          </w:p>
        </w:tc>
        <w:tc>
          <w:tcPr>
            <w:tcW w:w="7381"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预期达到的目标</w:t>
            </w:r>
          </w:p>
        </w:tc>
        <w:tc>
          <w:tcPr>
            <w:tcW w:w="112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小标宋_GBK" w:eastAsia="方正小标宋_GBK"/>
                <w:kern w:val="0"/>
                <w:sz w:val="24"/>
                <w:szCs w:val="24"/>
              </w:rPr>
            </w:pPr>
            <w:r>
              <w:rPr>
                <w:rFonts w:hint="eastAsia" w:ascii="方正小标宋_GBK" w:eastAsia="方正小标宋_GBK"/>
                <w:kern w:val="0"/>
                <w:sz w:val="24"/>
                <w:szCs w:val="24"/>
              </w:rPr>
              <w:t>榜单</w:t>
            </w:r>
          </w:p>
          <w:p>
            <w:pPr>
              <w:widowControl/>
              <w:autoSpaceDE w:val="0"/>
              <w:snapToGrid w:val="0"/>
              <w:jc w:val="center"/>
              <w:textAlignment w:val="center"/>
              <w:rPr>
                <w:rFonts w:hint="eastAsia" w:ascii="方正小标宋_GBK" w:eastAsia="方正小标宋_GBK"/>
                <w:sz w:val="24"/>
                <w:szCs w:val="24"/>
              </w:rPr>
            </w:pPr>
            <w:r>
              <w:rPr>
                <w:rFonts w:hint="eastAsia" w:ascii="方正小标宋_GBK" w:eastAsia="方正小标宋_GBK"/>
                <w:kern w:val="0"/>
                <w:sz w:val="24"/>
                <w:szCs w:val="24"/>
              </w:rPr>
              <w:t>金额</w:t>
            </w:r>
          </w:p>
        </w:tc>
      </w:tr>
      <w:tr>
        <w:tblPrEx>
          <w:tblCellMar>
            <w:top w:w="0" w:type="dxa"/>
            <w:left w:w="108" w:type="dxa"/>
            <w:bottom w:w="0" w:type="dxa"/>
            <w:right w:w="108" w:type="dxa"/>
          </w:tblCellMar>
        </w:tblPrEx>
        <w:trPr>
          <w:trHeight w:val="64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5</w:t>
            </w:r>
          </w:p>
        </w:tc>
        <w:tc>
          <w:tcPr>
            <w:tcW w:w="155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b/>
                <w:bCs/>
                <w:kern w:val="0"/>
                <w:sz w:val="22"/>
                <w:szCs w:val="22"/>
              </w:rPr>
            </w:pPr>
            <w:r>
              <w:rPr>
                <w:rFonts w:hint="eastAsia" w:ascii="方正仿宋_GBK" w:eastAsia="方正仿宋_GBK"/>
                <w:b/>
                <w:bCs/>
                <w:kern w:val="0"/>
                <w:sz w:val="22"/>
                <w:szCs w:val="22"/>
              </w:rPr>
              <w:t>超薄空间异形曲面装饰面板清水混凝土现浇施工技术</w:t>
            </w:r>
          </w:p>
        </w:tc>
        <w:tc>
          <w:tcPr>
            <w:tcW w:w="4425"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1、装饰面板为清水混凝土结构，对混凝土的外观质量要求非常高，如何通过配合比设计及浇筑技术保证清水混凝土效果；</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2、装饰面板为现浇混凝土结构，结构尺寸随桥梁线形和景观造型变化，复杂多样，如何采取有效支撑方式，满足空间异型结构的支撑要求；</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3、装饰面板造型复杂，局部还包含了多变异形曲面形式，对内外模板的选 择要求极高，既要自身有刚度又要具有满足异形曲面线形的柔度，选用何种模板；</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4、如何规划面板版面，使装饰面板外观达到拼缝线形连续、流畅，拉杆眼孔间距整齐的要求。</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5、装饰面板仅厚 10cm(局部 12cm)，其间还有两层钢筋网片，加上造型变化大，如何有效振捣保证混凝土密实、避免裂缝产生。</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6、装饰面板结构复杂多变，如何布控测量点位，确保施工精度，保证线形流畅。</w:t>
            </w:r>
          </w:p>
        </w:tc>
        <w:tc>
          <w:tcPr>
            <w:tcW w:w="7381"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近几年，重庆市的市政工程也出现了很多异型曲面的工程，如千厮门大桥以及东水门大桥的滴水造型桥墩等，同时近几年重庆市也在大力推广清水混凝土，基于此，集团以后承接的工程会遇到越来越多或者采用空间异型曲面的建筑结构、或者要求清水混凝土效果或者超薄型现浇施工面板的工程，此项技术的研究，能够为集团以后承接类似结构工程以及推广此项技术打下坚实的基础。</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 xml:space="preserve">    装饰面板外观质量达到清水混凝土标准，光滑平整，色泽均衡。装饰面板异型曲面圆润，满足设计及景观要求。现浇超薄面板混凝土密实，避免裂缝产生。</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 xml:space="preserve">    选取桥段变化最多的部分节段作为实施试验段，通过试验段的实施，优化施工工艺、方案，摸索出一套经济、快速、实用且能满足要求的施工方法，为后期大面积施工提供数据支持，保证工程结构形式及质量满足设计及规范要求。总结出一套超薄空间异形曲面装饰面板清水混凝土现浇施工技术。</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 xml:space="preserve">    满足《清水混凝土应用技术规程》（JGJ169-2009）相关技术指标。施工质量达到饰面清水混凝土要求，表面颜色基本一致，由有规律排列的对拉螺栓孔眼、明缝、蝉缝、假眼等组合而成、以自然质感为饰面效果的清水混凝土。</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 xml:space="preserve">    表面平整度≤3mm；曲线线型满足规范要求；表面颜色：基本一致，无明显色差；裂缝：宽度小于0.2mm，且长度不大于1000mm。</w:t>
            </w:r>
          </w:p>
        </w:tc>
        <w:tc>
          <w:tcPr>
            <w:tcW w:w="112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50万元</w:t>
            </w:r>
          </w:p>
        </w:tc>
      </w:tr>
      <w:tr>
        <w:tblPrEx>
          <w:tblCellMar>
            <w:top w:w="0" w:type="dxa"/>
            <w:left w:w="108" w:type="dxa"/>
            <w:bottom w:w="0" w:type="dxa"/>
            <w:right w:w="108" w:type="dxa"/>
          </w:tblCellMar>
        </w:tblPrEx>
        <w:trPr>
          <w:trHeight w:val="899"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sz w:val="22"/>
                <w:szCs w:val="22"/>
              </w:rPr>
            </w:pPr>
            <w:r>
              <w:rPr>
                <w:rFonts w:hint="eastAsia" w:ascii="方正小标宋_GBK" w:eastAsia="方正小标宋_GBK"/>
                <w:kern w:val="0"/>
                <w:sz w:val="24"/>
                <w:szCs w:val="24"/>
              </w:rPr>
              <w:t>序号</w:t>
            </w:r>
          </w:p>
        </w:tc>
        <w:tc>
          <w:tcPr>
            <w:tcW w:w="155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b/>
                <w:bCs/>
                <w:kern w:val="0"/>
                <w:sz w:val="22"/>
                <w:szCs w:val="22"/>
              </w:rPr>
            </w:pPr>
            <w:r>
              <w:rPr>
                <w:rFonts w:hint="eastAsia" w:ascii="方正小标宋_GBK" w:eastAsia="方正小标宋_GBK"/>
                <w:kern w:val="0"/>
                <w:sz w:val="24"/>
                <w:szCs w:val="24"/>
              </w:rPr>
              <w:t>研究项目</w:t>
            </w:r>
          </w:p>
        </w:tc>
        <w:tc>
          <w:tcPr>
            <w:tcW w:w="44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kern w:val="0"/>
                <w:sz w:val="22"/>
                <w:szCs w:val="22"/>
              </w:rPr>
            </w:pPr>
            <w:r>
              <w:rPr>
                <w:rFonts w:hint="eastAsia" w:ascii="方正小标宋_GBK" w:eastAsia="方正小标宋_GBK"/>
                <w:kern w:val="0"/>
                <w:sz w:val="24"/>
                <w:szCs w:val="24"/>
              </w:rPr>
              <w:t>拟解决问题</w:t>
            </w:r>
          </w:p>
        </w:tc>
        <w:tc>
          <w:tcPr>
            <w:tcW w:w="7381"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kern w:val="0"/>
                <w:sz w:val="22"/>
                <w:szCs w:val="22"/>
              </w:rPr>
            </w:pPr>
            <w:r>
              <w:rPr>
                <w:rFonts w:hint="eastAsia" w:ascii="方正小标宋_GBK" w:eastAsia="方正小标宋_GBK"/>
                <w:kern w:val="0"/>
                <w:sz w:val="24"/>
                <w:szCs w:val="24"/>
              </w:rPr>
              <w:t>预期达到的目标</w:t>
            </w:r>
          </w:p>
        </w:tc>
        <w:tc>
          <w:tcPr>
            <w:tcW w:w="112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小标宋_GBK" w:eastAsia="方正小标宋_GBK"/>
                <w:kern w:val="0"/>
                <w:sz w:val="24"/>
                <w:szCs w:val="24"/>
              </w:rPr>
            </w:pPr>
            <w:r>
              <w:rPr>
                <w:rFonts w:hint="eastAsia" w:ascii="方正小标宋_GBK" w:eastAsia="方正小标宋_GBK"/>
                <w:kern w:val="0"/>
                <w:sz w:val="24"/>
                <w:szCs w:val="24"/>
              </w:rPr>
              <w:t>榜单</w:t>
            </w:r>
          </w:p>
          <w:p>
            <w:pPr>
              <w:widowControl/>
              <w:autoSpaceDE w:val="0"/>
              <w:snapToGrid w:val="0"/>
              <w:jc w:val="center"/>
              <w:textAlignment w:val="center"/>
              <w:rPr>
                <w:rFonts w:hint="eastAsia" w:ascii="方正仿宋_GBK" w:eastAsia="方正仿宋_GBK"/>
                <w:sz w:val="22"/>
                <w:szCs w:val="22"/>
              </w:rPr>
            </w:pPr>
            <w:r>
              <w:rPr>
                <w:rFonts w:hint="eastAsia" w:ascii="方正小标宋_GBK" w:eastAsia="方正小标宋_GBK"/>
                <w:kern w:val="0"/>
                <w:sz w:val="24"/>
                <w:szCs w:val="24"/>
              </w:rPr>
              <w:t>金额</w:t>
            </w:r>
          </w:p>
        </w:tc>
      </w:tr>
      <w:tr>
        <w:tblPrEx>
          <w:tblCellMar>
            <w:top w:w="0" w:type="dxa"/>
            <w:left w:w="108" w:type="dxa"/>
            <w:bottom w:w="0" w:type="dxa"/>
            <w:right w:w="108" w:type="dxa"/>
          </w:tblCellMar>
        </w:tblPrEx>
        <w:trPr>
          <w:trHeight w:val="6845"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6</w:t>
            </w:r>
          </w:p>
        </w:tc>
        <w:tc>
          <w:tcPr>
            <w:tcW w:w="155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b/>
                <w:bCs/>
                <w:kern w:val="0"/>
                <w:sz w:val="22"/>
                <w:szCs w:val="22"/>
              </w:rPr>
            </w:pPr>
            <w:r>
              <w:rPr>
                <w:rFonts w:hint="eastAsia" w:ascii="方正仿宋_GBK" w:eastAsia="方正仿宋_GBK"/>
                <w:b/>
                <w:bCs/>
                <w:kern w:val="0"/>
                <w:sz w:val="22"/>
                <w:szCs w:val="22"/>
              </w:rPr>
              <w:t>特长公路隧道施工及运营阶段通风优化及智能运维关键技术研究</w:t>
            </w:r>
          </w:p>
        </w:tc>
        <w:tc>
          <w:tcPr>
            <w:tcW w:w="4425"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研发特长隧道智能运维管理系统利用5G+光纤集成先进传感器构建洞内先进感知网络，通过构建基于交通流量和隧道内环境的AI分析模型联动风机PLC控制子系统实现隧道自适应变频送风，通过照明智能控制子系统实现对隧道内LED灯亮度及色温的智能控制；通过隧道内主要设备在线监测子系统实现对机电设备的智能化管理；通过具备事件检测功能的高清监控子系统实现隧道应急管理的智能化。</w:t>
            </w:r>
          </w:p>
        </w:tc>
        <w:tc>
          <w:tcPr>
            <w:tcW w:w="7381"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以高速公路特长隧道作为研究对象，基于物联网技术获取隧道设备运行信息、环境信息等，建立隧道营运智能控制管理平台，通过大数据的应用分析和AI算法优化，达到对隧道的风机、照明、监控等的最大化利用和最小化资源使用的目的，</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1、通过精准智能控制，按需运行降低风机、灯等机电设备的耗能，降低使用成本10%；</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2、减少隧道设备健康状况现场检查次数，降低人力和车辆使用成本，营运管理人员减少30%以上；</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3、有利于经营管理者及行业主管部门实时监管，降低管理成本；提升风机和照明设备对环境的响应速度；应急管理响应效率提升30%。</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4、隧道智能运营管理系统一套，申请一份软著。</w:t>
            </w:r>
          </w:p>
        </w:tc>
        <w:tc>
          <w:tcPr>
            <w:tcW w:w="112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100万元</w:t>
            </w:r>
          </w:p>
        </w:tc>
      </w:tr>
      <w:tr>
        <w:tblPrEx>
          <w:tblCellMar>
            <w:top w:w="0" w:type="dxa"/>
            <w:left w:w="108" w:type="dxa"/>
            <w:bottom w:w="0" w:type="dxa"/>
            <w:right w:w="108" w:type="dxa"/>
          </w:tblCellMar>
        </w:tblPrEx>
        <w:trPr>
          <w:trHeight w:val="8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sz w:val="22"/>
                <w:szCs w:val="22"/>
              </w:rPr>
            </w:pPr>
            <w:r>
              <w:rPr>
                <w:rFonts w:hint="eastAsia" w:ascii="方正小标宋_GBK" w:eastAsia="方正小标宋_GBK"/>
                <w:kern w:val="0"/>
                <w:sz w:val="24"/>
                <w:szCs w:val="24"/>
              </w:rPr>
              <w:t>序号</w:t>
            </w:r>
          </w:p>
        </w:tc>
        <w:tc>
          <w:tcPr>
            <w:tcW w:w="155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b/>
                <w:bCs/>
                <w:kern w:val="0"/>
                <w:sz w:val="22"/>
                <w:szCs w:val="22"/>
              </w:rPr>
            </w:pPr>
            <w:r>
              <w:rPr>
                <w:rFonts w:hint="eastAsia" w:ascii="方正小标宋_GBK" w:eastAsia="方正小标宋_GBK"/>
                <w:kern w:val="0"/>
                <w:sz w:val="24"/>
                <w:szCs w:val="24"/>
              </w:rPr>
              <w:t>研究项目</w:t>
            </w:r>
          </w:p>
        </w:tc>
        <w:tc>
          <w:tcPr>
            <w:tcW w:w="44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kern w:val="0"/>
                <w:sz w:val="22"/>
                <w:szCs w:val="22"/>
              </w:rPr>
            </w:pPr>
            <w:r>
              <w:rPr>
                <w:rFonts w:hint="eastAsia" w:ascii="方正小标宋_GBK" w:eastAsia="方正小标宋_GBK"/>
                <w:kern w:val="0"/>
                <w:sz w:val="24"/>
                <w:szCs w:val="24"/>
              </w:rPr>
              <w:t>拟解决问题</w:t>
            </w:r>
          </w:p>
        </w:tc>
        <w:tc>
          <w:tcPr>
            <w:tcW w:w="7381"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kern w:val="0"/>
                <w:sz w:val="22"/>
                <w:szCs w:val="22"/>
              </w:rPr>
            </w:pPr>
            <w:r>
              <w:rPr>
                <w:rFonts w:hint="eastAsia" w:ascii="方正小标宋_GBK" w:eastAsia="方正小标宋_GBK"/>
                <w:kern w:val="0"/>
                <w:sz w:val="24"/>
                <w:szCs w:val="24"/>
              </w:rPr>
              <w:t>预期达到的目标</w:t>
            </w:r>
          </w:p>
        </w:tc>
        <w:tc>
          <w:tcPr>
            <w:tcW w:w="112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小标宋_GBK" w:eastAsia="方正小标宋_GBK"/>
                <w:kern w:val="0"/>
                <w:sz w:val="24"/>
                <w:szCs w:val="24"/>
              </w:rPr>
            </w:pPr>
            <w:r>
              <w:rPr>
                <w:rFonts w:hint="eastAsia" w:ascii="方正小标宋_GBK" w:eastAsia="方正小标宋_GBK"/>
                <w:kern w:val="0"/>
                <w:sz w:val="24"/>
                <w:szCs w:val="24"/>
              </w:rPr>
              <w:t>榜单</w:t>
            </w:r>
          </w:p>
          <w:p>
            <w:pPr>
              <w:widowControl/>
              <w:autoSpaceDE w:val="0"/>
              <w:snapToGrid w:val="0"/>
              <w:jc w:val="center"/>
              <w:textAlignment w:val="center"/>
              <w:rPr>
                <w:rFonts w:hint="eastAsia" w:ascii="方正仿宋_GBK" w:eastAsia="方正仿宋_GBK"/>
                <w:sz w:val="22"/>
                <w:szCs w:val="22"/>
              </w:rPr>
            </w:pPr>
            <w:r>
              <w:rPr>
                <w:rFonts w:hint="eastAsia" w:ascii="方正小标宋_GBK" w:eastAsia="方正小标宋_GBK"/>
                <w:kern w:val="0"/>
                <w:sz w:val="24"/>
                <w:szCs w:val="24"/>
              </w:rPr>
              <w:t>金额</w:t>
            </w:r>
          </w:p>
        </w:tc>
      </w:tr>
      <w:tr>
        <w:tblPrEx>
          <w:tblCellMar>
            <w:top w:w="0" w:type="dxa"/>
            <w:left w:w="108" w:type="dxa"/>
            <w:bottom w:w="0" w:type="dxa"/>
            <w:right w:w="108" w:type="dxa"/>
          </w:tblCellMar>
        </w:tblPrEx>
        <w:trPr>
          <w:trHeight w:val="7081"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7</w:t>
            </w:r>
          </w:p>
        </w:tc>
        <w:tc>
          <w:tcPr>
            <w:tcW w:w="155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b/>
                <w:bCs/>
                <w:kern w:val="0"/>
                <w:sz w:val="22"/>
                <w:szCs w:val="22"/>
              </w:rPr>
            </w:pPr>
            <w:r>
              <w:rPr>
                <w:rFonts w:hint="eastAsia" w:ascii="方正仿宋_GBK" w:eastAsia="方正仿宋_GBK"/>
                <w:b/>
                <w:bCs/>
                <w:kern w:val="0"/>
                <w:sz w:val="22"/>
                <w:szCs w:val="22"/>
              </w:rPr>
              <w:t>山区特长隧道施工重大地质灾害预防与处治成套技术研究</w:t>
            </w:r>
          </w:p>
        </w:tc>
        <w:tc>
          <w:tcPr>
            <w:tcW w:w="4425"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拟针对施工安全风险最高的五类地质灾害：富水构造（岩溶和断层）突泥涌水、瓦斯爆炸与突出、（掌子面及其后方）大塌方、高地应力硬岩岩爆和软岩大变形等，开展风险评估、监控预警、风险防治与灾害救援成套技术研究，重点内容如下：</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1、隧道恶劣地质段施工安全风险分级标准</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2、基于多元信息的隧道施工安全风险监控与预警技术</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3、隧道施工安全风险对策与工程示范</w:t>
            </w:r>
          </w:p>
        </w:tc>
        <w:tc>
          <w:tcPr>
            <w:tcW w:w="7381"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依托奉建高速工程，选取小营隧道的典型不良地质段与特殊岩土段，开展恶劣地质灾害的风险评估、监控预警、处治对策与应急预案应用，将研究成果进行集成展示与工程示范。项目组将指导施工企业在预防与处治隧道施工重大地质灾害时的能力建设，包括：技术培训、监测预报处治设备选型、处治与应急预防制定等。具体的施工监测、地质预报、工程处治、抢险救援等工作由施工单位组织实施。</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1、编制《山区交通隧道施工重大地质灾害风险评估技术指南》；</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2、编制《山区交通隧道施工安全风险多元信息监控与预警技术指南》；</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3、编制《山区交通隧道施工重大地质灾害处治与应急预案》，形成“预案库”；</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4、开发 “山区交通隧道围岩快速分级与稳定性评估软件” ，并取得软件著作权1项；</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5、申请国家专利1项以上；</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6、提高恶劣地质体位置和规模的识别准确率到80%；</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7、降低恶劣地质灾害的发生率80%。</w:t>
            </w:r>
          </w:p>
        </w:tc>
        <w:tc>
          <w:tcPr>
            <w:tcW w:w="1129" w:type="dxa"/>
            <w:tcBorders>
              <w:top w:val="single" w:color="000000" w:sz="4" w:space="0"/>
              <w:left w:val="nil"/>
              <w:bottom w:val="single" w:color="000000" w:sz="4" w:space="0"/>
              <w:right w:val="single" w:color="000000" w:sz="4" w:space="0"/>
            </w:tcBorders>
            <w:noWrap w:val="0"/>
            <w:vAlign w:val="center"/>
          </w:tcPr>
          <w:p>
            <w:pPr>
              <w:jc w:val="center"/>
              <w:rPr>
                <w:rFonts w:hint="eastAsia" w:ascii="方正仿宋_GBK" w:eastAsia="方正仿宋_GBK"/>
                <w:sz w:val="22"/>
                <w:szCs w:val="22"/>
              </w:rPr>
            </w:pPr>
            <w:r>
              <w:rPr>
                <w:rFonts w:hint="eastAsia" w:ascii="方正仿宋_GBK" w:eastAsia="方正仿宋_GBK"/>
                <w:sz w:val="22"/>
                <w:szCs w:val="22"/>
              </w:rPr>
              <w:t>120万元</w:t>
            </w:r>
          </w:p>
        </w:tc>
      </w:tr>
      <w:tr>
        <w:tblPrEx>
          <w:tblCellMar>
            <w:top w:w="0" w:type="dxa"/>
            <w:left w:w="108" w:type="dxa"/>
            <w:bottom w:w="0" w:type="dxa"/>
            <w:right w:w="108" w:type="dxa"/>
          </w:tblCellMar>
        </w:tblPrEx>
        <w:trPr>
          <w:trHeight w:val="556" w:hRule="atLeast"/>
          <w:jc w:val="center"/>
        </w:trPr>
        <w:tc>
          <w:tcPr>
            <w:tcW w:w="15088"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eastAsia="方正仿宋_GBK"/>
                <w:sz w:val="22"/>
                <w:szCs w:val="22"/>
              </w:rPr>
            </w:pPr>
            <w:r>
              <w:rPr>
                <w:rFonts w:hint="eastAsia" w:ascii="方正小标宋_GBK" w:eastAsia="方正小标宋_GBK"/>
                <w:kern w:val="0"/>
                <w:sz w:val="24"/>
                <w:szCs w:val="24"/>
              </w:rPr>
              <w:t>五、工程管理类（100万元）</w:t>
            </w:r>
          </w:p>
        </w:tc>
      </w:tr>
      <w:tr>
        <w:tblPrEx>
          <w:tblCellMar>
            <w:top w:w="0" w:type="dxa"/>
            <w:left w:w="108" w:type="dxa"/>
            <w:bottom w:w="0" w:type="dxa"/>
            <w:right w:w="108" w:type="dxa"/>
          </w:tblCellMar>
        </w:tblPrEx>
        <w:trPr>
          <w:trHeight w:val="569"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sz w:val="22"/>
                <w:szCs w:val="22"/>
              </w:rPr>
            </w:pPr>
            <w:r>
              <w:rPr>
                <w:rFonts w:hint="eastAsia" w:ascii="方正小标宋_GBK" w:eastAsia="方正小标宋_GBK"/>
                <w:kern w:val="0"/>
                <w:sz w:val="24"/>
                <w:szCs w:val="24"/>
              </w:rPr>
              <w:t>序号</w:t>
            </w:r>
          </w:p>
        </w:tc>
        <w:tc>
          <w:tcPr>
            <w:tcW w:w="155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b/>
                <w:bCs/>
                <w:kern w:val="0"/>
                <w:sz w:val="22"/>
                <w:szCs w:val="22"/>
              </w:rPr>
            </w:pPr>
            <w:r>
              <w:rPr>
                <w:rFonts w:hint="eastAsia" w:ascii="方正小标宋_GBK" w:eastAsia="方正小标宋_GBK"/>
                <w:kern w:val="0"/>
                <w:sz w:val="24"/>
                <w:szCs w:val="24"/>
              </w:rPr>
              <w:t>研究项目</w:t>
            </w:r>
          </w:p>
        </w:tc>
        <w:tc>
          <w:tcPr>
            <w:tcW w:w="4425"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kern w:val="0"/>
                <w:sz w:val="22"/>
                <w:szCs w:val="22"/>
              </w:rPr>
            </w:pPr>
            <w:r>
              <w:rPr>
                <w:rFonts w:hint="eastAsia" w:ascii="方正小标宋_GBK" w:eastAsia="方正小标宋_GBK"/>
                <w:kern w:val="0"/>
                <w:sz w:val="24"/>
                <w:szCs w:val="24"/>
              </w:rPr>
              <w:t>拟解决问题</w:t>
            </w:r>
          </w:p>
        </w:tc>
        <w:tc>
          <w:tcPr>
            <w:tcW w:w="7381"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kern w:val="0"/>
                <w:sz w:val="22"/>
                <w:szCs w:val="22"/>
              </w:rPr>
            </w:pPr>
            <w:r>
              <w:rPr>
                <w:rFonts w:hint="eastAsia" w:ascii="方正小标宋_GBK" w:eastAsia="方正小标宋_GBK"/>
                <w:kern w:val="0"/>
                <w:sz w:val="24"/>
                <w:szCs w:val="24"/>
              </w:rPr>
              <w:t>预期达到的目标</w:t>
            </w:r>
          </w:p>
        </w:tc>
        <w:tc>
          <w:tcPr>
            <w:tcW w:w="112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小标宋_GBK" w:eastAsia="方正小标宋_GBK"/>
                <w:kern w:val="0"/>
                <w:sz w:val="24"/>
                <w:szCs w:val="24"/>
              </w:rPr>
            </w:pPr>
            <w:r>
              <w:rPr>
                <w:rFonts w:hint="eastAsia" w:ascii="方正小标宋_GBK" w:eastAsia="方正小标宋_GBK"/>
                <w:kern w:val="0"/>
                <w:sz w:val="24"/>
                <w:szCs w:val="24"/>
              </w:rPr>
              <w:t>榜单</w:t>
            </w:r>
          </w:p>
          <w:p>
            <w:pPr>
              <w:widowControl/>
              <w:autoSpaceDE w:val="0"/>
              <w:snapToGrid w:val="0"/>
              <w:jc w:val="center"/>
              <w:textAlignment w:val="center"/>
              <w:rPr>
                <w:rFonts w:hint="eastAsia" w:ascii="方正仿宋_GBK" w:eastAsia="方正仿宋_GBK"/>
                <w:sz w:val="22"/>
                <w:szCs w:val="22"/>
              </w:rPr>
            </w:pPr>
            <w:r>
              <w:rPr>
                <w:rFonts w:hint="eastAsia" w:ascii="方正小标宋_GBK" w:eastAsia="方正小标宋_GBK"/>
                <w:kern w:val="0"/>
                <w:sz w:val="24"/>
                <w:szCs w:val="24"/>
              </w:rPr>
              <w:t>金额</w:t>
            </w:r>
          </w:p>
        </w:tc>
      </w:tr>
      <w:tr>
        <w:tblPrEx>
          <w:tblCellMar>
            <w:top w:w="0" w:type="dxa"/>
            <w:left w:w="108" w:type="dxa"/>
            <w:bottom w:w="0" w:type="dxa"/>
            <w:right w:w="108" w:type="dxa"/>
          </w:tblCellMar>
        </w:tblPrEx>
        <w:trPr>
          <w:trHeight w:val="232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8</w:t>
            </w:r>
          </w:p>
        </w:tc>
        <w:tc>
          <w:tcPr>
            <w:tcW w:w="1559"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center"/>
              <w:textAlignment w:val="center"/>
              <w:rPr>
                <w:rFonts w:hint="eastAsia" w:ascii="方正仿宋_GBK" w:eastAsia="方正仿宋_GBK"/>
                <w:b/>
                <w:bCs/>
                <w:kern w:val="0"/>
                <w:sz w:val="22"/>
                <w:szCs w:val="22"/>
              </w:rPr>
            </w:pPr>
            <w:r>
              <w:rPr>
                <w:rFonts w:hint="eastAsia" w:ascii="方正仿宋_GBK" w:eastAsia="方正仿宋_GBK"/>
                <w:b/>
                <w:bCs/>
                <w:kern w:val="0"/>
                <w:sz w:val="22"/>
                <w:szCs w:val="22"/>
              </w:rPr>
              <w:t>建工维保品牌建设与产业化研究</w:t>
            </w:r>
          </w:p>
        </w:tc>
        <w:tc>
          <w:tcPr>
            <w:tcW w:w="4425"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针对目前保修时限长，项目竣工后项目团队解散，保修困难的问题。研发相应材料及工艺，增加防水等质保期。培养自身的维保工作团队，建设相应的维保系统，并对接集团新的管理平台，建立集团级的统一维保工作流程。</w:t>
            </w:r>
          </w:p>
        </w:tc>
        <w:tc>
          <w:tcPr>
            <w:tcW w:w="7381" w:type="dxa"/>
            <w:tcBorders>
              <w:top w:val="single" w:color="000000" w:sz="4" w:space="0"/>
              <w:left w:val="nil"/>
              <w:bottom w:val="single" w:color="000000" w:sz="4" w:space="0"/>
              <w:right w:val="single" w:color="000000" w:sz="4" w:space="0"/>
            </w:tcBorders>
            <w:noWrap w:val="0"/>
            <w:vAlign w:val="center"/>
          </w:tcPr>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1、立标准：图集/方案：编制房建、市政、安装工程常见维保问题的标准处理图集方案；</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2、建团队：培育集团工程维保团队,集团优质维保团队不少于5家；</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3、能互通：建立维修保养数字化平台，维修保养数字化平台与集团管理平台项目能实现信息互通（集团管理平台新增项目后维保平台自动新增相同项目），且项目库互通数据需包含项目概况、项目位置、项目所属单位等，避免平台与平台之间的数据壁垒及数据的重复录入；</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4、功能齐：平台包括手机端（应用市场上架）和PC端（具备数据统计分析功能），功能版块包括：维保工程的申报、维保单位的注册管理、服务评价及投诉、维修款的支付情况及剩余质保金的收取情况提供查询、建立维保适用性较强的材料、工艺推荐库；获得工程维修保养平台软件著作权；集团工程维修保养团队覆盖率达80%；</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5、更便捷：维修保养项目能自动生成二维码，通过扫码的方式实现维修保养信息的提交，对项目进行GIS位置的标定，对于有信息模型的项目，可实现维修保养具体部位的标定，为维保团队编制维保技术方案提供数据支撑；</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6、可分析：工程维修保养数据的实现实时数据分析，包括维修保养类型、维修保养高频问题、维保服务预警等的数据统计分析；</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7、都留档：根据集团维保流程自定义维修保养表单；维修保养过程重要影像和工程设计图纸等相关资料的电子化留存归档，所有工程文档均实现在线浏览；全过程维保档案留档可查。</w:t>
            </w:r>
          </w:p>
          <w:p>
            <w:pPr>
              <w:widowControl/>
              <w:autoSpaceDE w:val="0"/>
              <w:snapToGrid w:val="0"/>
              <w:jc w:val="left"/>
              <w:textAlignment w:val="center"/>
              <w:rPr>
                <w:rFonts w:hint="eastAsia" w:ascii="方正仿宋_GBK" w:eastAsia="方正仿宋_GBK"/>
                <w:kern w:val="0"/>
                <w:sz w:val="22"/>
                <w:szCs w:val="22"/>
              </w:rPr>
            </w:pPr>
            <w:r>
              <w:rPr>
                <w:rFonts w:hint="eastAsia" w:ascii="方正仿宋_GBK" w:eastAsia="方正仿宋_GBK"/>
                <w:kern w:val="0"/>
                <w:sz w:val="22"/>
                <w:szCs w:val="22"/>
              </w:rPr>
              <w:t>8、创品牌：申请维保品牌商标注册。</w:t>
            </w:r>
          </w:p>
        </w:tc>
        <w:tc>
          <w:tcPr>
            <w:tcW w:w="1129"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方正仿宋_GBK" w:eastAsia="方正仿宋_GBK"/>
                <w:sz w:val="22"/>
                <w:szCs w:val="22"/>
              </w:rPr>
            </w:pPr>
            <w:r>
              <w:rPr>
                <w:rFonts w:hint="eastAsia" w:ascii="方正仿宋_GBK" w:eastAsia="方正仿宋_GBK"/>
                <w:sz w:val="22"/>
                <w:szCs w:val="22"/>
              </w:rPr>
              <w:t>100万元</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358F3"/>
    <w:rsid w:val="2FFF19A4"/>
    <w:rsid w:val="7C635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unhideWhenUsed/>
    <w:uiPriority w:val="99"/>
    <w:pPr>
      <w:spacing w:line="360" w:lineRule="auto"/>
      <w:ind w:firstLine="480"/>
    </w:pPr>
    <w:rPr>
      <w:kern w:val="3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2021-12-23T00:57:00Z</dcterms:created>
  <dc:creator>泥鳅1号</dc:creator>
  <cp:lastModifiedBy>飞起就是一个么么哒</cp:lastModifiedBy>
  <dcterms:modified xsi:type="dcterms:W3CDTF">2021-12-23T02:52:31Z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2BF329C2999240599FA7EA087BD1707F</vt:lpwstr>
  </property>
</Properties>
</file>